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0430" w:rsidRPr="00A46348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p w:rsidR="006C4EE5" w:rsidRPr="00BE380D" w:rsidRDefault="006C4EE5" w:rsidP="006C4EE5">
      <w:pPr>
        <w:spacing w:line="240" w:lineRule="auto"/>
        <w:jc w:val="center"/>
        <w:rPr>
          <w:rFonts w:ascii="Arial" w:hAnsi="Arial" w:cs="Arial"/>
          <w:b/>
          <w:bCs/>
          <w:color w:val="221E1F"/>
          <w:sz w:val="18"/>
          <w:szCs w:val="16"/>
        </w:rPr>
      </w:pPr>
      <w:r w:rsidRPr="00BE380D">
        <w:rPr>
          <w:rFonts w:ascii="Arial" w:hAnsi="Arial" w:cs="Arial"/>
          <w:b/>
          <w:bCs/>
          <w:color w:val="221E1F"/>
          <w:sz w:val="18"/>
          <w:szCs w:val="16"/>
        </w:rPr>
        <w:t>МЕТОДОЛОГИЧЕСКИЕ ПОЯСНЕНИЯ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pacing w:val="-2"/>
          <w:sz w:val="18"/>
          <w:szCs w:val="16"/>
        </w:rPr>
      </w:pPr>
      <w:r w:rsidRPr="00BE380D">
        <w:rPr>
          <w:rFonts w:ascii="Arial" w:hAnsi="Arial" w:cs="Arial"/>
          <w:spacing w:val="-2"/>
          <w:sz w:val="18"/>
          <w:szCs w:val="16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от 25 января 2002 г. № 8-ФЗ «О Всероссийской переписи населения», постановлением Правительства Российской Федерации от 7 декабря 2019 г. № 1608 «Об 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 проведению переписей населения и жилищного фонда 2020 года» (ЕЭК ООН, 2015), «Рекомендациями по статистике международной миграции» (ООН, 1998).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b/>
          <w:sz w:val="18"/>
          <w:szCs w:val="16"/>
        </w:rPr>
        <w:t>Дата переписи.</w:t>
      </w:r>
      <w:r w:rsidRPr="00BE380D">
        <w:rPr>
          <w:rFonts w:ascii="Arial" w:hAnsi="Arial" w:cs="Arial"/>
          <w:sz w:val="18"/>
          <w:szCs w:val="16"/>
        </w:rPr>
        <w:t xml:space="preserve"> Всероссийская перепись населения 2020 года проведена по 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 другое).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Для 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 </w:t>
      </w:r>
    </w:p>
    <w:p w:rsidR="00E50401" w:rsidRPr="005D5B3C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pacing w:val="-4"/>
          <w:sz w:val="18"/>
          <w:szCs w:val="16"/>
        </w:rPr>
      </w:pPr>
      <w:r w:rsidRPr="005D5B3C">
        <w:rPr>
          <w:rFonts w:ascii="Arial" w:hAnsi="Arial" w:cs="Arial"/>
          <w:spacing w:val="-4"/>
          <w:sz w:val="18"/>
          <w:szCs w:val="16"/>
        </w:rPr>
        <w:t xml:space="preserve">Разработка итогов Всероссийской переписи населения 2020 года произведена по состоянию на 1 октября 2021 года.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b/>
          <w:sz w:val="18"/>
          <w:szCs w:val="16"/>
        </w:rPr>
        <w:t>Категории переписываемого населения.</w:t>
      </w:r>
      <w:r w:rsidRPr="00BE380D">
        <w:rPr>
          <w:rFonts w:ascii="Arial" w:hAnsi="Arial" w:cs="Arial"/>
          <w:sz w:val="18"/>
          <w:szCs w:val="1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лица, постоянно проживающие в России и временно выехавшие за рубеж в 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постоянно проживающие в России моряки российских рыболовных и торговых судов, находящиеся на дату переписи населения в плавании;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российские и иностранные граждане и лица без гражданства, прибывшие в Россию из-за рубежа на постоянное жительство или ищущие убежище, включая и тех из них, кто не успел оформить регистрационные документы;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российские и иностранные граждане и лица без гражданства, прибывшие в  Россию из-за рубежа на учебу, работу или с другой целью на срок один год и более (независимо от того, сколько времени они пробыли в стране и сколько им осталось находиться в России).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pacing w:val="-2"/>
          <w:sz w:val="18"/>
          <w:szCs w:val="16"/>
        </w:rPr>
      </w:pPr>
      <w:r w:rsidRPr="00BE380D">
        <w:rPr>
          <w:rFonts w:ascii="Arial" w:hAnsi="Arial" w:cs="Arial"/>
          <w:spacing w:val="-2"/>
          <w:sz w:val="18"/>
          <w:szCs w:val="1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 учебу или работу на срок менее 1 года, прибывшие независимо от срока на отдых, лечение, посещения родственников или знакомых, религиозного паломничества, а также транзитные мигранты.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Бездомные учтены в том месте, где их застала перепись.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Не учитывались при переписи населения: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российские граждане, выехавшие за рубеж на работу по контрактам с российскими или иностранными фирмами или учебу на срок один год и более (независимо от того, когда они выехали и сколько им осталось находиться за рубежом);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и члены их семей;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иностранные граждане, работающие на территории России в представительствах международных организаций;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иностранные граждане, являющиеся членами делегаций правительств и законодательных органов своих государств. </w:t>
      </w:r>
    </w:p>
    <w:p w:rsidR="00E50401" w:rsidRPr="00BE380D" w:rsidRDefault="00E50401" w:rsidP="00E50401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Население переписано </w:t>
      </w:r>
      <w:r w:rsidRPr="00BE380D">
        <w:rPr>
          <w:rFonts w:ascii="Arial" w:hAnsi="Arial" w:cs="Arial"/>
          <w:b/>
          <w:sz w:val="18"/>
          <w:szCs w:val="16"/>
        </w:rPr>
        <w:t>по месту своего постоянного (обычного) жительства</w:t>
      </w:r>
      <w:r w:rsidRPr="00BE380D">
        <w:rPr>
          <w:rFonts w:ascii="Arial" w:hAnsi="Arial" w:cs="Arial"/>
          <w:sz w:val="18"/>
          <w:szCs w:val="16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Единицей места проживания считается жилое помещение, в понятие которого входят: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а) квартира в многоквартирном доме (включая квартиру в общежитии квартирного типа);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lastRenderedPageBreak/>
        <w:t xml:space="preserve">б) индивидуальный (одноквартирный) дом (изба, сторожка, коттедж или другое одноквартирное строение);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в) комната в общежитии (неквартирного типа);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д) любое другое помещение, приспособленное для жилья (вагончик, бытовка, хозблок, баржа и т.п.);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е) палата, отделение и др. (в зависимости от того, как ведется учет в соответствующих организациях) в учреждениях социального и медицинского назначения (домах ребенка, детских домах, школах-интернатах для детей сирот и 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 больницах для больных с хроническими заболеваниями и т.п.), в казармах, местах заключения, религиозных организациях.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 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 отметкой о временном отсутствии.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2) Граждане России, выехавшие в длительные служебные командировки (на 1 год и более) за границу по линии органов государственной власти Российской Федерации, и находившиеся вместе с ними члены их семей, переписывались по месту их нахождения. Численность этой категории населения представлена в таблице 1 тома 1.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4) Лица, призванные на военно-учебный сбор, переписывались дома вместе с членами их домохозяйств с отметкой о временном отсутствии.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5) Военнослужащие, проходившие военную службу по контракту и проживавшие на открытой территории, переписывались вместе с членами их домохозяйств в общем порядке.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6) Военнослужащие, проходившие военную службу по призыву или по контракту и проживавшие на закрытой территории, переписывались по месту их нахождения.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10) Постоянно проживавшие в Российской Федерации иностранные граждане (т.е. лица, имевшие гражданство зарубежного государства) и лица без гражданства переписывались по месту их жительства в общем порядке.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11) Лица (независимо от их гражданства), прибывшие в Российскую Федерацию на срок 1 год и более на работу по контрактам c российскими и иностранными организациями (кроме иностранных граждан, работавших в 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12) Лица (независимо от их гражданства), прибывшие из зарубежных стран в 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 застала перепись.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13) В гостиницах, больницах, домах отдыха, санаториях и т. п. переписывались только те лица, которые не имели другого места жительства.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Все перечисленные категории населения (кроме категории, указанной в 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:rsidR="00E50401" w:rsidRPr="00BE380D" w:rsidRDefault="00E50401" w:rsidP="00E50401">
      <w:pPr>
        <w:pStyle w:val="Default"/>
        <w:spacing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 численность населения, временно находившегося на территории России на 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 гости к родственникам или знакомым, а также транзитные мигранты.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b/>
          <w:color w:val="221E1F"/>
          <w:sz w:val="18"/>
          <w:szCs w:val="16"/>
        </w:rPr>
        <w:lastRenderedPageBreak/>
        <w:t>Программа Всероссийской переписи населения 2020 года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 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b/>
          <w:color w:val="221E1F"/>
          <w:sz w:val="18"/>
          <w:szCs w:val="16"/>
        </w:rPr>
        <w:t>Метод переписи.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 населении обходили все помещения своего счетного участка, где проживало или могло жить население (включая нежилые помещения), и собирали сведения о жителях, не переписавшихся на ЕПГУ.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Вопросы задавались населению в той формулировке, которая дана в переписных листах. Запись сведений в переписные листы производилась со слов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b/>
          <w:color w:val="221E1F"/>
          <w:sz w:val="18"/>
          <w:szCs w:val="16"/>
        </w:rPr>
        <w:t>Контрольные мероприятия.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 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 постоянно проживающим за рубежом.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 правильности переписи. Люди, пропущенные в ходе переписи и выявленные во время контрольного обхода, вносились в переписные листы, а ошибочно переписанные исключались из них.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b/>
          <w:color w:val="221E1F"/>
          <w:sz w:val="18"/>
          <w:szCs w:val="16"/>
        </w:rPr>
        <w:t>Итоги переписи.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Данные переписи населения 2020 года, полученные на 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</w:t>
      </w:r>
      <w:r>
        <w:rPr>
          <w:rFonts w:ascii="Arial" w:hAnsi="Arial" w:cs="Arial"/>
          <w:color w:val="221E1F"/>
          <w:sz w:val="18"/>
          <w:szCs w:val="16"/>
        </w:rPr>
        <w:t>Ставропольского края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(далее - постоянное население). </w:t>
      </w:r>
    </w:p>
    <w:p w:rsidR="00E50401" w:rsidRDefault="00E50401" w:rsidP="00E50401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 таблице 2 </w:t>
      </w:r>
      <w:r w:rsidR="00C45FBC">
        <w:rPr>
          <w:rFonts w:ascii="Arial" w:hAnsi="Arial" w:cs="Arial"/>
          <w:color w:val="221E1F"/>
          <w:sz w:val="18"/>
          <w:szCs w:val="16"/>
        </w:rPr>
        <w:t>тома 1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приведена для сравнения численность населения </w:t>
      </w:r>
      <w:r>
        <w:rPr>
          <w:rFonts w:ascii="Arial" w:hAnsi="Arial" w:cs="Arial"/>
          <w:color w:val="221E1F"/>
          <w:sz w:val="18"/>
          <w:szCs w:val="16"/>
        </w:rPr>
        <w:t>Ставропольского края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по прошлым переписям. Содержание постоянного населения в переписях за послевоенные годы в методологическом отношении отличается от содержания постоянного населения переписей 2002, 2010 и 2020 годов. Это связано в основном с различными временными критериями отнесения отдельных категорий населения к временно отсутствующим, постоянно проживающим и выбывшим из места постоянного жительства. Так, при переписи населения 1989 года выехавшие на временную или сезонную работу, в командировку, на производственную практику, краткосрочную учебу считались временно отсутствовавшими, если их отсутствие не превышало 6 месяцев. Выехавшие на 6 месяцев и более учитывались как постоянное население по новому адресу. В 2020 году, также как в 2002 и 2010 годах, этот временной ценз составил 1 год. Увеличение срока временного отсутствия с 6 месяцев до 1 года было вызвано повышением подвижности населения и возрастанием объемов как внутренней, так и внешней трудовой миграции.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b/>
          <w:bCs/>
          <w:color w:val="221E1F"/>
          <w:sz w:val="18"/>
          <w:szCs w:val="16"/>
        </w:rPr>
        <w:t>Домохозяйство.</w:t>
      </w:r>
      <w:r w:rsidRPr="00C45FBC">
        <w:rPr>
          <w:rFonts w:ascii="Arial" w:hAnsi="Arial" w:cs="Arial"/>
          <w:color w:val="221E1F"/>
          <w:sz w:val="18"/>
          <w:szCs w:val="16"/>
        </w:rPr>
        <w:t xml:space="preserve"> При переписи населения 2020 года опрос населения проводился по домохозяйствам. 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 брака, или быть не родственниками, либо и теми,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 домохозяйствами бездомных. 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неквартирного типа, других жилых помещениях и помещениях, приспособленных для жилья.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lastRenderedPageBreak/>
        <w:t>Данные о жилищных условиях населения сформированы на основе информации из переписных листов формы П, заполнявшихся в целом на жилое помещение, в котором проживают респонденты переписи.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 xml:space="preserve">Распределение населения и домохозяйств по типам занимаемых жилых помещений приведено в таблицах 1 и 2 на основе ответов на вопрос 1 переписных листов формы П: 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«индивидуальный дом» – дом, состоящий из одного жилого помещения (квартиры), с одним лицевым счетом для оплаты коммунальных услуг;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«отдельная квартира» – жилое помещение в многоквартирном доме, имеет один лицевой счет для оплаты коммунальных услуг и самостоятельный выход в помещение общего пользования в доме или на земельный участок, прилегающий к дому;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«коммунальная квартира» – жилое помещение с двумя и более лицевыми счетами для оплаты коммунальных услуг и общим выходом;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«общежитие» – жилые помещения, в том числе квартирного типа, предназначенные для продолжительного временного проживания на период работы, службы или обучения, не имеющие лицевого счета для оплаты коммунальных услуг;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«гостиница» – жилые помещения (также отель, мотель, хостел, апартаменты, меблированные комнаты, пансионат, санаторий, турбаза, приют), приспособленные для краткосрочного пребывания и не имеющие лицевого счета для оплаты коммунальных услуг;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 xml:space="preserve">«другое жилище» – вагончик, баржа, бытовка, яранга, юрта и тому подобного, временное или передвижное жилье для работников строительства, промышленности, энергосетей, транспорта (в том числе водного); временное, сезонно используемое или передвижное жилье для работников сельского хозяйства, в том числе при кочевом и полукочевом образе жизни, сезонном перемещении, отходничестве. 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Информация о числе комнат, общей площади помещения, годе постройки и материале наружных стен дома, обеспеченности различными видами благоустройства собиралась от населения частных домохозяйств, проживающего в индивидуальных домах, отдельных и коммунальных квартирах.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Информация о числе занимаемых комнат домохозяйством, представленная в таблицах 3 и 6, получена на основе ответов на вопросы 5 и 9 переписных листов формы П.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 xml:space="preserve">Комнатой считается обособленная часть помещения, предназначенная для проживания и отдыха. В число жилых комнат не включаются: кухни, холлы, коридоры, ванные и душевые комнаты, бассейны, сауны, кладовые и другие вспомогательные помещения. Совмещенная кухня-столовая считается жилой комнатой.  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В таблице 4 приведено распределение частных домохозяйств по годам постройки и материалам наружных стен домов на основе ответов на вопросы 2 и 3 переписных листов формы П.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При ответе на вопрос о периоде постройки дома учитывался год, в котором дом был введен в эксплуатацию. При перестройках, надстройках, расширении дома годом ввода в эксплуатацию считался год первоначальной постройки.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Ответы на вопрос о материале наружных стен дома респонденты выбирали один из следующих вариантов: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кирпич, камень – дом из кирпича, естественного камня (ракушечника, песчаника, известняка, туфа, бутового камня и другие) независимо от облицовки;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панель, блок – дом из бетонных или железобетонных панелей или бетонных, железобетонных, шлакобетонных и керамзитобетонных блоков, шлакоблоков независимо от облицовки;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дерево – дом из бруса, рубленой или панельной древесины, в том числе облицованный кирпичом или другими материалами;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монолит – дом из монолитных армированных конструкций, залитых бетонной смесью, в том числе облицованный кирпичом, плиткой или другими материалами;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смешанный материал – одна часть дома кирпичная или каменная, а вторая часть дома деревянная. В зданиях, стены которых возведены из нескольких видов материалов (например, панель и кирпич), учитывался преобладающий материал наружных стен;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иное – саманные, глинобитные, сырцовые, сборно-щитовые, каркасно-засыпные (включая облицованные кирпичом, фасадными панелями), каркасно-камышитовые, шлаковые, шлакозаливн</w:t>
      </w:r>
      <w:r w:rsidR="00C35C54">
        <w:rPr>
          <w:rFonts w:ascii="Arial" w:hAnsi="Arial" w:cs="Arial"/>
          <w:color w:val="221E1F"/>
          <w:sz w:val="18"/>
          <w:szCs w:val="16"/>
        </w:rPr>
        <w:t>0</w:t>
      </w:r>
      <w:r w:rsidRPr="00C45FBC">
        <w:rPr>
          <w:rFonts w:ascii="Arial" w:hAnsi="Arial" w:cs="Arial"/>
          <w:color w:val="221E1F"/>
          <w:sz w:val="18"/>
          <w:szCs w:val="16"/>
        </w:rPr>
        <w:t>ые или другие материалов, не перечисленных выше.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Данные об обеспеченности жилищ населения различными видами благоустройства, приведенные в таблице 5, получены на основе ответов на вопрос 6 переписных листов формы П. При ответе на этот вопрос респонденты могли указать все имеющиеся в их жилищах варианты из приведенного ниже списка: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Электричество – в жилище имеется электропроводка, подключенная к сети.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 xml:space="preserve">Электроплита – в жилых помещениях дома имеется напольная электрическая плита или электрическая варочная панель. 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 xml:space="preserve">Газ: 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сетевой – в жилых помещениях дома имеется газовая плита (панель) и/или система отопления, и/или нагреватель воды, снабжаемые сетевым газом;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сжиженный (баллоны) – в жилых помещениях дома (в том числе с отдельно стоящей кухней) имеется газовая плита (панель), снабжаемая сжиженным (баллонным) газом от коллективных, дворовых, квартальных и индивидуальных баллонных установок).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Отопление: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lastRenderedPageBreak/>
        <w:t>централизованное – жилые помещения дома отапливаются от своей домовой котельной, групповой (квартальной), объединенной или районной котельной, ТЭЦ;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от индивидуальных установок, котлов – жилые помещения дома отапливаются от автономных квартирных водонагревателей (АГВ), локальных, децентрализованных, малометражных отопительных котлов на газовом и твердом топливе или от других источников тепла;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печное – жилые помещения дома отапливаются печью, камином на дровах, угле.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Водоснабжение: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централизованная система холодного водоснабжения – внутри дома имеется водопроводная сеть, по которой круглый год транспортируется и подается питьевая вода с использованием централизованной системы холодного водоснабжения; оборудованным системой водоснабжения считается дом с отдельно стоящей кухней, в которой установлен водопроводный кран от водопроводной сети;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индивидуальная система водоснабжения – внутри дома имеется водопроводная сеть, в которую вода поступает из индивидуальной системы водоснабжения (например, поступление воды в жилое помещение происходит по водопроводному устройству (насосу), присоединенному к скважине, колодцу или от других источников);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 xml:space="preserve">водоснабжение вне жилища, колонка – во дворе (за пределами дома) имеется водоразборный кран (колонка) и нет ввода воды в дом; 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колодец, скважина или другой источник водоснабжения – для обеспечения водой используется колодец, скважина или другой источник воды (например, вода берется из родника, реки; вода привозная в накопителе возле дома и в доме) без использования водопроводных сетей для транспортировки и подачи воды.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Горячее водоснабжение: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централизованное – в жилых помещениях дома имеются специальные водопроводные сети, подающие горячую воду централизованно для бытовых нужд проживающих;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от индивидуальных водонагревателей – в жилых помещениях дома имеются специальные водопроводные сети, подающие горячую воду от газовой или дровяной колонки, поквартирных водонагревателей (АГВ), включая и малометражные отопительные котлы для приготовления горячей воды;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горячее водоснабжение отсутствует – в жилом доме нет централизованного водоснабжения или водоснабжения от индивидуальных водонагревателей.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Водоотведение (канализация):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централизованная система – внутри дома имеется комплекс инженерных сооружений для удаления сточных вод через централизованную систему водоотведения;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индивидуальная система (включая септик) – удаление сточных вод происходит через трубопроводы в индивидуальную систему водоотведения (включая септик, оборудованный для одного жилого помещения);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через систему труб в выгребные ямы и тому подобные – удаление сточных вод происходит через другие системы, кроме перечисленных выше (например, удаление сточных вод с помощью ассенизаторских машин и тому подобное);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водоотведение (канализация) отсутствует – жилой дом не оборудован канализацией, в том числе при наличии биотуалетов.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Туалет: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туалет со смывом, расположенный в жилище – в жилых помещениях дома туалет соединен с водопроводом, и смыв производится под напором воды при обязательном наличии водопровода и канализации;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туалет другого типа в жилище (включая биотуалет) – в жилых помещениях есть биотуалет или туалет другого типа (отходы удаляются с использованием выгребных ям);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туалет вне жилища – туалет находится вне жилого дома и используется жильцами данного жилого помещения или жильцами всего дома;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туалет отсутствует – отсутствует туалет любого типа.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Ванна (душ):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 xml:space="preserve">ванна (душ) в жилище – в жилых помещениях есть стационарная ванна и (или) душ; 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 xml:space="preserve">ванна (душ) вне жилища – ванна и (или) душ находится в отдельном строении для пользования жителей одного жилого помещения или совместного пользования на несколько индивидуальных домов или квартир; 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баня, сауна – наличие бани и (или) сауны внутри жилого дома или вне его;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 xml:space="preserve">ванна, душ, баня, сауна отсутствуют – жилое помещение не оборудовано данными видами благоустройств. 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Удаление бытовых отходов: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мусоропровод – техническое устройство для удаления мусора по трубам в мусороприемные камеры (как правило, в многоэтажном доме);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мусоросборники вне дома – выброс мусора и бытовых отходов производится в специально предназначенные мусоросборники (например, урны и контейнеры), находящиеся вне жилища;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сбор мусора спецмашиной – отсутствуют мусоросборники внутри и вне дома, и сбор мусора производится специализированными машинами;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выброс мусора в ямы, на кучи и тому подобное – выброс мусора и бытовых отходов производится на местные свалки, ямы, кучи и тому подобное.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 xml:space="preserve">Кухня: 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lastRenderedPageBreak/>
        <w:t>Кухня – вспомогательное помещение или его часть, с обеденной зоной для приема пищи членами семьи, а также с размещением кухонного оборудования для приготовления пищи, мойки, хранения посуды и инвентаря, возможно для временного хранения продуктов питания и сбора коммунальных отходов. Кухня-ниша – кухня без столовой зоны, расположенная в части жилого или вспомогательного помещения, предназначенная для приготовления горячей пищи (например, в комнате-студии, некоторых типах квартир гостиничного или коридорного типа).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кухня в доме или квартире – в помещении имеется кухня, кухня-столовая или кухня-ниша;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кухня в отдельном строении – вне жилого дома имеется кухня или кухня-ниша;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кухня отсутствует – в жилом доме и в отдельном строении нет ни кухни, ни кухни-ниши.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Наличие телекоммуникаций: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стационарная телефонная связь – в жилом помещении имеется стационарная телефонная линия;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мобильная телефонная связь – в жилом помещении имеется мобильная или спутниковая телефонная связь;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интернет через проводное соединение – доступ хотя бы у одного из членов домохозяйства к сети Интернет через телефонный провод, кабель;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интернет через беспроводное соединение – доступ хотя бы у одного из членов домохозяйства к сети Интернет через услуги операторов мобильной или спутниковой связи.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Если тот или иной вид благоустройства имелся, но временно бездействовал (вследствие повреждения, ремонта или других причин), то такое жилище считалось оборудованным этим видом благоустройства.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В таблице 7 приведено распределение частных домохозяйства по размеру общей площади индивидуального дома, квартиры (вопросы 4 и 10 переписных листов формы П).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 xml:space="preserve">Общая площадь жилого помещения (индивидуального дома или квартиры)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бытовых и иных нужд, связанных с проживанием в жилом помещении. 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 xml:space="preserve">К площади помещений вспомогательного использования относятся площади кухонь, внутриквартирных коридоров, ванн, санузлов, встроенных шкафов, кладовых, а также площадь, занятая внутриквартирной лестницей. Части жилого помещения, приспособленные для занятий спортом (спортивные залы), отдыха (зимние сады), также учитываются в общей площади жилого помещения. 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В общую площадь жилого помещения не включается площадь: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общедомовых лестничных клеток, лифтовых холлов, тамбуров, коридоров (кроме внутриквартирных), вестибюлей, сеней;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занятая выступающими конструктивными элементами и отопительными печами;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веранд, балконов, лоджий, террас;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гаражей;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C45FBC">
        <w:rPr>
          <w:rFonts w:ascii="Arial" w:hAnsi="Arial" w:cs="Arial"/>
          <w:color w:val="221E1F"/>
          <w:sz w:val="18"/>
          <w:szCs w:val="16"/>
        </w:rPr>
        <w:t>отдельно стоящих кухонь, бань, бассейнов, саун, сараев, беседок и других, в том числе объединенных с жилым помещением общей крышей или навесом.</w:t>
      </w:r>
    </w:p>
    <w:p w:rsidR="00C45FBC" w:rsidRP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094A08">
        <w:rPr>
          <w:rFonts w:ascii="Arial" w:hAnsi="Arial" w:cs="Arial"/>
          <w:b/>
          <w:bCs/>
          <w:color w:val="221E1F"/>
          <w:sz w:val="18"/>
          <w:szCs w:val="16"/>
        </w:rPr>
        <w:t>Городск</w:t>
      </w:r>
      <w:r w:rsidR="006D1AB1">
        <w:rPr>
          <w:rFonts w:ascii="Arial" w:hAnsi="Arial" w:cs="Arial"/>
          <w:b/>
          <w:bCs/>
          <w:color w:val="221E1F"/>
          <w:sz w:val="18"/>
          <w:szCs w:val="16"/>
        </w:rPr>
        <w:t>о</w:t>
      </w:r>
      <w:r w:rsidRPr="00094A08">
        <w:rPr>
          <w:rFonts w:ascii="Arial" w:hAnsi="Arial" w:cs="Arial"/>
          <w:b/>
          <w:bCs/>
          <w:color w:val="221E1F"/>
          <w:sz w:val="18"/>
          <w:szCs w:val="16"/>
        </w:rPr>
        <w:t>е и сельск</w:t>
      </w:r>
      <w:r w:rsidR="006D1AB1">
        <w:rPr>
          <w:rFonts w:ascii="Arial" w:hAnsi="Arial" w:cs="Arial"/>
          <w:b/>
          <w:bCs/>
          <w:color w:val="221E1F"/>
          <w:sz w:val="18"/>
          <w:szCs w:val="16"/>
        </w:rPr>
        <w:t>о</w:t>
      </w:r>
      <w:r w:rsidRPr="00094A08">
        <w:rPr>
          <w:rFonts w:ascii="Arial" w:hAnsi="Arial" w:cs="Arial"/>
          <w:b/>
          <w:bCs/>
          <w:color w:val="221E1F"/>
          <w:sz w:val="18"/>
          <w:szCs w:val="16"/>
        </w:rPr>
        <w:t>е население.</w:t>
      </w:r>
      <w:r w:rsidRPr="00C45FBC">
        <w:rPr>
          <w:rFonts w:ascii="Arial" w:hAnsi="Arial" w:cs="Arial"/>
          <w:color w:val="221E1F"/>
          <w:sz w:val="18"/>
          <w:szCs w:val="16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</w:p>
    <w:p w:rsidR="00C45FBC" w:rsidRDefault="00C45FBC" w:rsidP="00C45FB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094A08">
        <w:rPr>
          <w:rFonts w:ascii="Arial" w:hAnsi="Arial" w:cs="Arial"/>
          <w:b/>
          <w:bCs/>
          <w:color w:val="221E1F"/>
          <w:sz w:val="18"/>
          <w:szCs w:val="16"/>
        </w:rPr>
        <w:t>Городскими населенными пунктами</w:t>
      </w:r>
      <w:r w:rsidRPr="00C45FBC">
        <w:rPr>
          <w:rFonts w:ascii="Arial" w:hAnsi="Arial" w:cs="Arial"/>
          <w:color w:val="221E1F"/>
          <w:sz w:val="18"/>
          <w:szCs w:val="16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094A08">
        <w:rPr>
          <w:rFonts w:ascii="Arial" w:hAnsi="Arial" w:cs="Arial"/>
          <w:b/>
          <w:bCs/>
          <w:color w:val="221E1F"/>
          <w:sz w:val="18"/>
          <w:szCs w:val="16"/>
        </w:rPr>
        <w:t>сельским</w:t>
      </w:r>
      <w:r w:rsidRPr="00C45FBC">
        <w:rPr>
          <w:rFonts w:ascii="Arial" w:hAnsi="Arial" w:cs="Arial"/>
          <w:color w:val="221E1F"/>
          <w:sz w:val="18"/>
          <w:szCs w:val="16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020430" w:rsidRPr="006C4EE5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sectPr w:rsidR="00020430" w:rsidRPr="006C4EE5" w:rsidSect="00030FE4">
      <w:headerReference w:type="default" r:id="rId6"/>
      <w:pgSz w:w="11906" w:h="16838"/>
      <w:pgMar w:top="851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716E" w:rsidRDefault="004C716E" w:rsidP="00030FE4">
      <w:pPr>
        <w:spacing w:after="0" w:line="240" w:lineRule="auto"/>
      </w:pPr>
      <w:r>
        <w:separator/>
      </w:r>
    </w:p>
  </w:endnote>
  <w:endnote w:type="continuationSeparator" w:id="0">
    <w:p w:rsidR="004C716E" w:rsidRDefault="004C716E" w:rsidP="0003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716E" w:rsidRDefault="004C716E" w:rsidP="00030FE4">
      <w:pPr>
        <w:spacing w:after="0" w:line="240" w:lineRule="auto"/>
      </w:pPr>
      <w:r>
        <w:separator/>
      </w:r>
    </w:p>
  </w:footnote>
  <w:footnote w:type="continuationSeparator" w:id="0">
    <w:p w:rsidR="004C716E" w:rsidRDefault="004C716E" w:rsidP="0003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172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030FE4" w:rsidRDefault="00030FE4">
        <w:pPr>
          <w:pStyle w:val="a4"/>
          <w:jc w:val="center"/>
        </w:pPr>
        <w:r w:rsidRPr="00030FE4">
          <w:rPr>
            <w:rFonts w:ascii="Arial" w:hAnsi="Arial" w:cs="Arial"/>
            <w:sz w:val="20"/>
          </w:rPr>
          <w:fldChar w:fldCharType="begin"/>
        </w:r>
        <w:r w:rsidRPr="00030FE4">
          <w:rPr>
            <w:rFonts w:ascii="Arial" w:hAnsi="Arial" w:cs="Arial"/>
            <w:sz w:val="20"/>
          </w:rPr>
          <w:instrText xml:space="preserve"> PAGE   \* MERGEFORMAT </w:instrText>
        </w:r>
        <w:r w:rsidRPr="00030FE4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030FE4">
          <w:rPr>
            <w:rFonts w:ascii="Arial" w:hAnsi="Arial" w:cs="Arial"/>
            <w:sz w:val="20"/>
          </w:rPr>
          <w:fldChar w:fldCharType="end"/>
        </w:r>
      </w:p>
    </w:sdtContent>
  </w:sdt>
  <w:p w:rsidR="00030FE4" w:rsidRDefault="00030F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430"/>
    <w:rsid w:val="00020430"/>
    <w:rsid w:val="00030FE4"/>
    <w:rsid w:val="00094A08"/>
    <w:rsid w:val="000D25D0"/>
    <w:rsid w:val="000E0968"/>
    <w:rsid w:val="001C772C"/>
    <w:rsid w:val="00365915"/>
    <w:rsid w:val="004C716E"/>
    <w:rsid w:val="004F2A7B"/>
    <w:rsid w:val="006C4EE5"/>
    <w:rsid w:val="006D1AB1"/>
    <w:rsid w:val="00B34E8F"/>
    <w:rsid w:val="00C35C54"/>
    <w:rsid w:val="00C45FBC"/>
    <w:rsid w:val="00E50401"/>
    <w:rsid w:val="00FD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278B"/>
  <w15:docId w15:val="{B3B3BA03-6DA7-49AE-945B-9A3AE7EE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  <w:style w:type="table" w:styleId="a3">
    <w:name w:val="Table Grid"/>
    <w:basedOn w:val="a1"/>
    <w:uiPriority w:val="39"/>
    <w:rsid w:val="00FD282F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FE4"/>
  </w:style>
  <w:style w:type="paragraph" w:styleId="a6">
    <w:name w:val="footer"/>
    <w:basedOn w:val="a"/>
    <w:link w:val="a8"/>
    <w:uiPriority w:val="99"/>
    <w:semiHidden/>
    <w:unhideWhenUsed/>
    <w:rsid w:val="0003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6"/>
    <w:uiPriority w:val="99"/>
    <w:semiHidden/>
    <w:rsid w:val="0003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4364</Words>
  <Characters>24878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Кулешова Елена Николаевна</cp:lastModifiedBy>
  <cp:revision>8</cp:revision>
  <dcterms:created xsi:type="dcterms:W3CDTF">2022-11-10T09:30:00Z</dcterms:created>
  <dcterms:modified xsi:type="dcterms:W3CDTF">2023-02-09T09:00:00Z</dcterms:modified>
</cp:coreProperties>
</file>